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1FF" w:rsidRPr="002707CD" w:rsidRDefault="00436A75" w:rsidP="00E21191">
      <w:pPr>
        <w:pStyle w:val="berschrift21"/>
        <w:rPr>
          <w:b/>
          <w:color w:val="27485D"/>
        </w:rPr>
      </w:pPr>
      <w:r w:rsidRPr="002707CD">
        <w:rPr>
          <w:b/>
          <w:color w:val="27485D"/>
        </w:rPr>
        <w:t>Introduction</w:t>
      </w:r>
    </w:p>
    <w:p w:rsidR="004D0871" w:rsidRDefault="004D0871" w:rsidP="00C260A9">
      <w:pPr>
        <w:pStyle w:val="Text"/>
        <w:jc w:val="both"/>
      </w:pPr>
      <w:r w:rsidRPr="00577598">
        <w:t xml:space="preserve">For each </w:t>
      </w:r>
      <w:r w:rsidR="006A4DD3" w:rsidRPr="00577598">
        <w:t>doctoral candidate</w:t>
      </w:r>
      <w:r w:rsidRPr="00577598">
        <w:t xml:space="preserve"> of the IMPRS-STNS a Thesis Advisory Committee (TAC) is set up at the beginning of the </w:t>
      </w:r>
      <w:r w:rsidR="00577598" w:rsidRPr="00577598">
        <w:t xml:space="preserve">research </w:t>
      </w:r>
      <w:r w:rsidRPr="00577598">
        <w:t>project.</w:t>
      </w:r>
      <w:r w:rsidR="00E14DB9" w:rsidRPr="00577598">
        <w:t xml:space="preserve"> </w:t>
      </w:r>
      <w:r w:rsidRPr="00577598">
        <w:t xml:space="preserve">The TAC approves the </w:t>
      </w:r>
      <w:r w:rsidR="00577598" w:rsidRPr="00577598">
        <w:t xml:space="preserve">research </w:t>
      </w:r>
      <w:r w:rsidRPr="00577598">
        <w:t xml:space="preserve">project, reviews the progress of the </w:t>
      </w:r>
      <w:r w:rsidR="006A4DD3" w:rsidRPr="00577598">
        <w:t>doctoral candidate</w:t>
      </w:r>
      <w:r w:rsidR="006A4DD3">
        <w:t xml:space="preserve"> </w:t>
      </w:r>
      <w:r>
        <w:t xml:space="preserve">and advises her or him on further </w:t>
      </w:r>
      <w:r w:rsidR="00AD357D">
        <w:t xml:space="preserve">training, </w:t>
      </w:r>
      <w:r>
        <w:t xml:space="preserve">studies and research. When it can be foreseen that a </w:t>
      </w:r>
      <w:r w:rsidR="00577598">
        <w:t xml:space="preserve">research </w:t>
      </w:r>
      <w:r>
        <w:t>project will not be successfully finished, the TAC can recommend to discontinue the project; this has to be confirmed by the IMPRS spokesperson.</w:t>
      </w:r>
    </w:p>
    <w:p w:rsidR="002C21FF" w:rsidRDefault="00436A75" w:rsidP="00C260A9">
      <w:pPr>
        <w:pStyle w:val="Text"/>
        <w:jc w:val="both"/>
      </w:pPr>
      <w:r>
        <w:t xml:space="preserve">The aim of the </w:t>
      </w:r>
      <w:r w:rsidRPr="004D0871">
        <w:t>TAC</w:t>
      </w:r>
      <w:r>
        <w:t xml:space="preserve"> is to support the doctoral candidate in the successful completion </w:t>
      </w:r>
      <w:r w:rsidR="004D0871">
        <w:t xml:space="preserve">of the </w:t>
      </w:r>
      <w:r>
        <w:t>research project, i.e. to provide advice and feedback on any aspect of the doctoral training. Further</w:t>
      </w:r>
      <w:r w:rsidR="00E14DB9">
        <w:t>more</w:t>
      </w:r>
      <w:r>
        <w:t xml:space="preserve">, the TAC </w:t>
      </w:r>
      <w:r w:rsidR="00E14DB9">
        <w:t xml:space="preserve">should </w:t>
      </w:r>
      <w:r>
        <w:t xml:space="preserve">provide feedback to the IMPRS </w:t>
      </w:r>
      <w:r w:rsidR="00E21191">
        <w:t>O</w:t>
      </w:r>
      <w:r>
        <w:t>ffice.</w:t>
      </w:r>
    </w:p>
    <w:p w:rsidR="002C21FF" w:rsidRPr="002707CD" w:rsidRDefault="00436A75" w:rsidP="00577598">
      <w:pPr>
        <w:pStyle w:val="berschrift21"/>
        <w:jc w:val="both"/>
        <w:rPr>
          <w:b/>
          <w:color w:val="27485D"/>
        </w:rPr>
      </w:pPr>
      <w:r w:rsidRPr="002707CD">
        <w:rPr>
          <w:b/>
          <w:color w:val="27485D"/>
        </w:rPr>
        <w:t>Members of the Thesis Advisory Committee</w:t>
      </w:r>
    </w:p>
    <w:p w:rsidR="002C21FF" w:rsidRDefault="00436A75" w:rsidP="00577598">
      <w:pPr>
        <w:pStyle w:val="Text"/>
        <w:spacing w:line="240" w:lineRule="auto"/>
        <w:jc w:val="both"/>
      </w:pPr>
      <w:r>
        <w:t xml:space="preserve">The TAC </w:t>
      </w:r>
      <w:r w:rsidR="00E14DB9">
        <w:t>consist</w:t>
      </w:r>
      <w:r w:rsidR="00CB6212">
        <w:t>s</w:t>
      </w:r>
      <w:r w:rsidR="00E14DB9">
        <w:t xml:space="preserve"> of </w:t>
      </w:r>
      <w:r>
        <w:t xml:space="preserve">the doctoral candidate’s </w:t>
      </w:r>
      <w:r w:rsidR="00E14DB9">
        <w:t>supervisor</w:t>
      </w:r>
      <w:r w:rsidR="002707CD">
        <w:t xml:space="preserve"> as well as usually</w:t>
      </w:r>
      <w:r w:rsidR="00E14DB9">
        <w:t xml:space="preserve"> a</w:t>
      </w:r>
      <w:r w:rsidR="002707CD">
        <w:t>n external</w:t>
      </w:r>
      <w:r w:rsidR="00E14DB9">
        <w:t xml:space="preserve"> co-supervisor</w:t>
      </w:r>
      <w:r w:rsidR="002707CD">
        <w:t xml:space="preserve"> </w:t>
      </w:r>
      <w:r w:rsidR="00EF1596">
        <w:t xml:space="preserve">and </w:t>
      </w:r>
      <w:r w:rsidR="002707CD">
        <w:t>an internal co-</w:t>
      </w:r>
      <w:r w:rsidR="00EF1596">
        <w:t>supervisor</w:t>
      </w:r>
      <w:r w:rsidR="00E14DB9">
        <w:t xml:space="preserve">. </w:t>
      </w:r>
      <w:r>
        <w:t xml:space="preserve">The TAC is quorate if two of its members are present. </w:t>
      </w:r>
    </w:p>
    <w:p w:rsidR="002C21FF" w:rsidRPr="002707CD" w:rsidRDefault="00436A75" w:rsidP="00577598">
      <w:pPr>
        <w:pStyle w:val="berschrift21"/>
        <w:spacing w:line="240" w:lineRule="auto"/>
        <w:jc w:val="both"/>
        <w:rPr>
          <w:b/>
          <w:color w:val="27485D"/>
        </w:rPr>
      </w:pPr>
      <w:r w:rsidRPr="002707CD">
        <w:rPr>
          <w:b/>
          <w:color w:val="27485D"/>
        </w:rPr>
        <w:t>General guidelines for TAC meetings</w:t>
      </w:r>
    </w:p>
    <w:p w:rsidR="002C21FF" w:rsidRDefault="00436A75" w:rsidP="00C260A9">
      <w:pPr>
        <w:pStyle w:val="Text"/>
        <w:spacing w:after="0"/>
        <w:jc w:val="both"/>
      </w:pPr>
      <w:r>
        <w:t xml:space="preserve">It is the </w:t>
      </w:r>
      <w:r w:rsidR="00CB6212">
        <w:t xml:space="preserve">doctoral candidate’s </w:t>
      </w:r>
      <w:r>
        <w:t>responsibilit</w:t>
      </w:r>
      <w:r w:rsidR="00EF1596">
        <w:t>y to organize the meetings.</w:t>
      </w:r>
    </w:p>
    <w:p w:rsidR="002C21FF" w:rsidRDefault="00436A75" w:rsidP="000F52B4">
      <w:pPr>
        <w:pStyle w:val="Listenabsatz"/>
        <w:numPr>
          <w:ilvl w:val="1"/>
          <w:numId w:val="9"/>
        </w:numPr>
        <w:spacing w:after="0"/>
        <w:jc w:val="both"/>
      </w:pPr>
      <w:r>
        <w:t>Coordinate with all TAC members to find a suitable date in accordance with the time frame outlined below</w:t>
      </w:r>
      <w:r w:rsidR="00154A0B">
        <w:t>.</w:t>
      </w:r>
      <w:r>
        <w:t xml:space="preserve"> </w:t>
      </w:r>
    </w:p>
    <w:p w:rsidR="002C21FF" w:rsidRDefault="00436A75" w:rsidP="000F52B4">
      <w:pPr>
        <w:pStyle w:val="Listenabsatz"/>
        <w:numPr>
          <w:ilvl w:val="1"/>
          <w:numId w:val="9"/>
        </w:numPr>
        <w:spacing w:after="0"/>
        <w:jc w:val="both"/>
      </w:pPr>
      <w:r>
        <w:t>Reserve a room suitable for the meeting (size, technical equipment</w:t>
      </w:r>
      <w:r w:rsidR="00E70D94">
        <w:t>)</w:t>
      </w:r>
      <w:r w:rsidR="00DC5C28">
        <w:t xml:space="preserve"> or arrange for an online meeting</w:t>
      </w:r>
      <w:r w:rsidR="00154A0B">
        <w:t>.</w:t>
      </w:r>
    </w:p>
    <w:p w:rsidR="002C21FF" w:rsidRDefault="005B7355" w:rsidP="000F52B4">
      <w:pPr>
        <w:pStyle w:val="Listenabsatz"/>
        <w:numPr>
          <w:ilvl w:val="1"/>
          <w:numId w:val="9"/>
        </w:numPr>
        <w:spacing w:after="0"/>
        <w:jc w:val="both"/>
      </w:pPr>
      <w:r>
        <w:t xml:space="preserve">Complete the </w:t>
      </w:r>
      <w:r w:rsidR="00CE2451">
        <w:t>form “TAC meeting preparation”</w:t>
      </w:r>
      <w:r>
        <w:t xml:space="preserve"> </w:t>
      </w:r>
      <w:r w:rsidR="00CE2451">
        <w:t>and prepare a written progress report covering the advances and challenges of the last year. S</w:t>
      </w:r>
      <w:r>
        <w:t>end it</w:t>
      </w:r>
      <w:r w:rsidR="00436A75">
        <w:t xml:space="preserve"> to al</w:t>
      </w:r>
      <w:r w:rsidR="00DC5C28">
        <w:t xml:space="preserve">l TAC members well in advance (at least </w:t>
      </w:r>
      <w:r w:rsidR="00436A75">
        <w:t>1 week</w:t>
      </w:r>
      <w:r w:rsidR="00DC5C28">
        <w:t xml:space="preserve"> before the meeting</w:t>
      </w:r>
      <w:r w:rsidR="00436A75">
        <w:t>)</w:t>
      </w:r>
      <w:r w:rsidR="00154A0B">
        <w:t>.</w:t>
      </w:r>
    </w:p>
    <w:p w:rsidR="005731EE" w:rsidRDefault="005731EE" w:rsidP="000F52B4">
      <w:pPr>
        <w:pStyle w:val="Listenabsatz"/>
        <w:numPr>
          <w:ilvl w:val="1"/>
          <w:numId w:val="9"/>
        </w:numPr>
        <w:spacing w:after="0"/>
        <w:jc w:val="both"/>
      </w:pPr>
      <w:r w:rsidRPr="005731EE">
        <w:t>Thoroughly prepare the presentation slides and practice delivering the presentation in advance</w:t>
      </w:r>
      <w:r>
        <w:t>.</w:t>
      </w:r>
    </w:p>
    <w:p w:rsidR="002C21FF" w:rsidRDefault="00436A75" w:rsidP="000F52B4">
      <w:pPr>
        <w:pStyle w:val="Listenabsatz"/>
        <w:numPr>
          <w:ilvl w:val="1"/>
          <w:numId w:val="9"/>
        </w:numPr>
        <w:spacing w:after="0"/>
        <w:jc w:val="both"/>
      </w:pPr>
      <w:r>
        <w:t xml:space="preserve">Inform the IMPRS </w:t>
      </w:r>
      <w:r w:rsidR="00E21191">
        <w:t>O</w:t>
      </w:r>
      <w:r>
        <w:t>ffice in advance about time and agenda of the meeting</w:t>
      </w:r>
      <w:r w:rsidR="00154A0B">
        <w:t>.</w:t>
      </w:r>
    </w:p>
    <w:p w:rsidR="002C21FF" w:rsidRDefault="00436A75" w:rsidP="000F52B4">
      <w:pPr>
        <w:pStyle w:val="Listenabsatz"/>
        <w:numPr>
          <w:ilvl w:val="1"/>
          <w:numId w:val="9"/>
        </w:numPr>
        <w:spacing w:after="0"/>
        <w:jc w:val="both"/>
      </w:pPr>
      <w:r>
        <w:t xml:space="preserve">Request attendance of </w:t>
      </w:r>
      <w:r w:rsidR="00F72DF5">
        <w:t xml:space="preserve">the </w:t>
      </w:r>
      <w:r>
        <w:t xml:space="preserve">IMPRS </w:t>
      </w:r>
      <w:r w:rsidR="00EF1596">
        <w:t>coordinat</w:t>
      </w:r>
      <w:r w:rsidR="00F72DF5">
        <w:t xml:space="preserve">or </w:t>
      </w:r>
      <w:r w:rsidR="00DC5C28">
        <w:t>if needed,</w:t>
      </w:r>
      <w:r w:rsidR="00EF1596">
        <w:t xml:space="preserve"> </w:t>
      </w:r>
      <w:r w:rsidR="00CE2451">
        <w:t>e.g.,</w:t>
      </w:r>
      <w:r w:rsidR="00EF1596">
        <w:t xml:space="preserve"> </w:t>
      </w:r>
      <w:r>
        <w:t xml:space="preserve">in case of </w:t>
      </w:r>
      <w:r w:rsidR="002707CD">
        <w:t xml:space="preserve">a </w:t>
      </w:r>
      <w:r>
        <w:t>conflict</w:t>
      </w:r>
      <w:r w:rsidR="00154A0B">
        <w:t>.</w:t>
      </w:r>
    </w:p>
    <w:p w:rsidR="00EF1596" w:rsidRDefault="00EF1596" w:rsidP="00C260A9">
      <w:pPr>
        <w:ind w:left="1080"/>
        <w:jc w:val="both"/>
      </w:pPr>
    </w:p>
    <w:p w:rsidR="002C21FF" w:rsidRDefault="00436A75" w:rsidP="00C260A9">
      <w:pPr>
        <w:pStyle w:val="Text"/>
        <w:spacing w:after="0" w:line="240" w:lineRule="auto"/>
        <w:jc w:val="both"/>
      </w:pPr>
      <w:r>
        <w:t>The TAC meetings should occur based on the following schedule:</w:t>
      </w:r>
    </w:p>
    <w:p w:rsidR="002C21FF" w:rsidRDefault="00436A75" w:rsidP="000F52B4">
      <w:pPr>
        <w:pStyle w:val="Listenabsatz"/>
        <w:numPr>
          <w:ilvl w:val="1"/>
          <w:numId w:val="10"/>
        </w:numPr>
        <w:spacing w:after="0"/>
        <w:jc w:val="both"/>
      </w:pPr>
      <w:r>
        <w:rPr>
          <w:i/>
          <w:iCs/>
        </w:rPr>
        <w:t>Start-up meeting</w:t>
      </w:r>
      <w:r>
        <w:t xml:space="preserve"> </w:t>
      </w:r>
      <w:r w:rsidR="006A4DD3">
        <w:t xml:space="preserve">– </w:t>
      </w:r>
      <w:r>
        <w:t xml:space="preserve">no later than </w:t>
      </w:r>
      <w:r w:rsidR="002707CD">
        <w:t>3</w:t>
      </w:r>
      <w:r>
        <w:t xml:space="preserve"> months after the start of the project</w:t>
      </w:r>
    </w:p>
    <w:p w:rsidR="002C21FF" w:rsidRDefault="00436A75" w:rsidP="000F52B4">
      <w:pPr>
        <w:pStyle w:val="Listenabsatz"/>
        <w:numPr>
          <w:ilvl w:val="1"/>
          <w:numId w:val="10"/>
        </w:numPr>
        <w:spacing w:after="0"/>
        <w:jc w:val="both"/>
      </w:pPr>
      <w:r>
        <w:rPr>
          <w:i/>
          <w:iCs/>
        </w:rPr>
        <w:t>Annual meetings</w:t>
      </w:r>
      <w:r>
        <w:t xml:space="preserve"> </w:t>
      </w:r>
      <w:r w:rsidR="006A4DD3">
        <w:t>–</w:t>
      </w:r>
      <w:r>
        <w:t xml:space="preserve"> </w:t>
      </w:r>
      <w:r w:rsidR="006A4DD3">
        <w:t xml:space="preserve">months </w:t>
      </w:r>
      <w:r>
        <w:t>12, 24, and 3</w:t>
      </w:r>
      <w:r w:rsidR="00E510DE">
        <w:t>0</w:t>
      </w:r>
      <w:r>
        <w:rPr>
          <w:vertAlign w:val="superscript"/>
        </w:rPr>
        <w:footnoteReference w:id="2"/>
      </w:r>
      <w:r>
        <w:t xml:space="preserve"> after the start of the project</w:t>
      </w:r>
    </w:p>
    <w:p w:rsidR="00E510DE" w:rsidRDefault="00E510DE" w:rsidP="00C260A9">
      <w:pPr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eastAsia="de-DE"/>
        </w:rPr>
      </w:pPr>
    </w:p>
    <w:p w:rsidR="002C21FF" w:rsidRDefault="00436A75" w:rsidP="00C260A9">
      <w:pPr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eastAsia="de-DE"/>
        </w:rPr>
      </w:pPr>
      <w:r w:rsidRPr="00E21191">
        <w:rPr>
          <w:rFonts w:ascii="Calibri" w:eastAsia="Calibri" w:hAnsi="Calibri" w:cs="Calibri"/>
          <w:color w:val="000000"/>
          <w:sz w:val="22"/>
          <w:szCs w:val="22"/>
          <w:u w:color="000000"/>
          <w:lang w:eastAsia="de-DE"/>
        </w:rPr>
        <w:t xml:space="preserve">As the doctoral training progresses, the TAC meetings may focus on slightly different aspects. These may include a general discussion of the goal of the research project, development of an individual training plan, assessing the </w:t>
      </w:r>
      <w:r w:rsidR="00577598">
        <w:rPr>
          <w:rFonts w:ascii="Calibri" w:eastAsia="Calibri" w:hAnsi="Calibri" w:cs="Calibri"/>
          <w:color w:val="000000"/>
          <w:sz w:val="22"/>
          <w:szCs w:val="22"/>
          <w:u w:color="000000"/>
          <w:lang w:eastAsia="de-DE"/>
        </w:rPr>
        <w:t>doctoral candidate’</w:t>
      </w:r>
      <w:r w:rsidRPr="00E21191">
        <w:rPr>
          <w:rFonts w:ascii="Calibri" w:eastAsia="Calibri" w:hAnsi="Calibri" w:cs="Calibri"/>
          <w:color w:val="000000"/>
          <w:sz w:val="22"/>
          <w:szCs w:val="22"/>
          <w:u w:color="000000"/>
          <w:lang w:eastAsia="de-DE"/>
        </w:rPr>
        <w:t>s progress in becoming an independent researcher, suggestions regarding the future development of the research project, and guidance for upcoming publications or writing up the doctoral thesis.</w:t>
      </w:r>
    </w:p>
    <w:p w:rsidR="002C21FF" w:rsidRPr="002A12A1" w:rsidRDefault="00436A75" w:rsidP="000F52B4">
      <w:pPr>
        <w:pStyle w:val="Listenabsatz"/>
        <w:numPr>
          <w:ilvl w:val="1"/>
          <w:numId w:val="11"/>
        </w:numPr>
        <w:spacing w:after="0"/>
        <w:jc w:val="both"/>
        <w:rPr>
          <w:i/>
        </w:rPr>
      </w:pPr>
      <w:r w:rsidRPr="002A12A1">
        <w:rPr>
          <w:i/>
        </w:rPr>
        <w:t xml:space="preserve">The TAC meetings are not intended to be a formal examination of the </w:t>
      </w:r>
      <w:r w:rsidR="00577598" w:rsidRPr="002A12A1">
        <w:rPr>
          <w:i/>
        </w:rPr>
        <w:t>doctoral candidate</w:t>
      </w:r>
      <w:r w:rsidRPr="002A12A1">
        <w:rPr>
          <w:i/>
        </w:rPr>
        <w:t>. Rather, the style of the meeting should be informal as long as it serves the goals established by these guidelines and within the framework of IMPRS-</w:t>
      </w:r>
      <w:r w:rsidR="00E21191" w:rsidRPr="002A12A1">
        <w:rPr>
          <w:i/>
        </w:rPr>
        <w:t>STNS</w:t>
      </w:r>
      <w:r w:rsidRPr="002A12A1">
        <w:rPr>
          <w:i/>
        </w:rPr>
        <w:t xml:space="preserve"> in general.</w:t>
      </w:r>
    </w:p>
    <w:p w:rsidR="00C260A9" w:rsidRPr="00281DE6" w:rsidRDefault="00436A75" w:rsidP="00860AF7">
      <w:pPr>
        <w:pStyle w:val="Listenabsatz"/>
        <w:numPr>
          <w:ilvl w:val="1"/>
          <w:numId w:val="11"/>
        </w:numPr>
        <w:spacing w:after="0"/>
        <w:jc w:val="both"/>
      </w:pPr>
      <w:r w:rsidRPr="00D6635F">
        <w:t>A</w:t>
      </w:r>
      <w:r w:rsidRPr="005B7355">
        <w:t>t</w:t>
      </w:r>
      <w:r w:rsidR="005B7355" w:rsidRPr="005B7355">
        <w:t xml:space="preserve"> the end of every meeting, the</w:t>
      </w:r>
      <w:r w:rsidRPr="005B7355">
        <w:t xml:space="preserve"> TAC members fill out the feedback form </w:t>
      </w:r>
      <w:r w:rsidR="00E032A1" w:rsidRPr="00281DE6">
        <w:t xml:space="preserve">and submit it </w:t>
      </w:r>
      <w:r w:rsidR="00E21191">
        <w:t>to the IMPRS O</w:t>
      </w:r>
      <w:r w:rsidR="00E032A1" w:rsidRPr="00281DE6">
        <w:t>ffice</w:t>
      </w:r>
      <w:r w:rsidR="005B7355" w:rsidRPr="00281DE6">
        <w:t>.</w:t>
      </w:r>
    </w:p>
    <w:sectPr w:rsidR="00C260A9" w:rsidRPr="00281DE6" w:rsidSect="00B56C3F">
      <w:headerReference w:type="default" r:id="rId7"/>
      <w:headerReference w:type="first" r:id="rId8"/>
      <w:pgSz w:w="11900" w:h="16840"/>
      <w:pgMar w:top="1440" w:right="1440" w:bottom="1440" w:left="144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35E" w:rsidRDefault="00F0035E">
      <w:r>
        <w:separator/>
      </w:r>
    </w:p>
  </w:endnote>
  <w:endnote w:type="continuationSeparator" w:id="0">
    <w:p w:rsidR="00F0035E" w:rsidRDefault="00F0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035E" w:rsidRDefault="00F0035E">
      <w:r>
        <w:separator/>
      </w:r>
    </w:p>
  </w:footnote>
  <w:footnote w:type="continuationSeparator" w:id="0">
    <w:p w:rsidR="00F0035E" w:rsidRDefault="00F0035E">
      <w:r>
        <w:continuationSeparator/>
      </w:r>
    </w:p>
  </w:footnote>
  <w:footnote w:type="continuationNotice" w:id="1">
    <w:p w:rsidR="00F0035E" w:rsidRDefault="00F0035E"/>
  </w:footnote>
  <w:footnote w:id="2">
    <w:p w:rsidR="00281DE6" w:rsidRDefault="00281DE6">
      <w:pPr>
        <w:pStyle w:val="Text"/>
      </w:pPr>
      <w:r>
        <w:rPr>
          <w:vertAlign w:val="superscript"/>
        </w:rPr>
        <w:footnoteRef/>
      </w:r>
      <w:r>
        <w:t xml:space="preserve">If the </w:t>
      </w:r>
      <w:r w:rsidR="00577598">
        <w:t>doctoral candidate</w:t>
      </w:r>
      <w:r>
        <w:t xml:space="preserve"> intends to start writing up his/her doctoral thesis earlier than that, the meeting should be scheduled to an earlier date.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1191" w:rsidRPr="00E21191" w:rsidRDefault="00FD7C32" w:rsidP="00FD7C32">
    <w:pPr>
      <w:pStyle w:val="Text"/>
      <w:pageBreakBefore/>
      <w:rPr>
        <w:b/>
        <w:bCs/>
        <w:sz w:val="32"/>
        <w:szCs w:val="28"/>
      </w:rPr>
    </w:pPr>
    <w:r>
      <w:rPr>
        <w:b/>
        <w:bCs/>
        <w:noProof/>
        <w:sz w:val="32"/>
        <w:szCs w:val="28"/>
      </w:rPr>
      <w:drawing>
        <wp:anchor distT="0" distB="0" distL="114300" distR="114300" simplePos="0" relativeHeight="251661824" behindDoc="1" locked="0" layoutInCell="1" allowOverlap="1" wp14:anchorId="57F3128D" wp14:editId="231B7D59">
          <wp:simplePos x="0" y="0"/>
          <wp:positionH relativeFrom="column">
            <wp:posOffset>2742949</wp:posOffset>
          </wp:positionH>
          <wp:positionV relativeFrom="paragraph">
            <wp:posOffset>-280478</wp:posOffset>
          </wp:positionV>
          <wp:extent cx="3654000" cy="691200"/>
          <wp:effectExtent l="0" t="0" r="3810" b="0"/>
          <wp:wrapNone/>
          <wp:docPr id="1713000840" name="Grafik 1713000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264162" name="Grafik 17332641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40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6C3F" w:rsidRDefault="00CE15C7" w:rsidP="00B56C3F">
    <w:pPr>
      <w:pStyle w:val="Text"/>
      <w:pageBreakBefore/>
      <w:rPr>
        <w:b/>
        <w:bCs/>
        <w:sz w:val="32"/>
        <w:szCs w:val="28"/>
      </w:rPr>
    </w:pPr>
    <w:r>
      <w:rPr>
        <w:b/>
        <w:bCs/>
        <w:noProof/>
        <w:sz w:val="32"/>
        <w:szCs w:val="28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2743835</wp:posOffset>
          </wp:positionH>
          <wp:positionV relativeFrom="paragraph">
            <wp:posOffset>-280670</wp:posOffset>
          </wp:positionV>
          <wp:extent cx="3654000" cy="691200"/>
          <wp:effectExtent l="0" t="0" r="3810" b="0"/>
          <wp:wrapNone/>
          <wp:docPr id="173326416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264162" name="Grafik 17332641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40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C3F" w:rsidRPr="00E21191">
      <w:rPr>
        <w:b/>
        <w:bCs/>
        <w:sz w:val="32"/>
        <w:szCs w:val="28"/>
      </w:rPr>
      <w:t>Thesis Advisory Committee</w:t>
    </w:r>
    <w:r w:rsidR="00B56C3F">
      <w:rPr>
        <w:b/>
        <w:bCs/>
        <w:sz w:val="32"/>
        <w:szCs w:val="28"/>
      </w:rPr>
      <w:t xml:space="preserve"> (TAC) </w:t>
    </w:r>
  </w:p>
  <w:p w:rsidR="00B56C3F" w:rsidRDefault="00B56C3F" w:rsidP="00B56C3F">
    <w:pPr>
      <w:pStyle w:val="Text"/>
      <w:pageBreakBefore/>
    </w:pPr>
    <w:r>
      <w:rPr>
        <w:b/>
        <w:bCs/>
        <w:sz w:val="32"/>
        <w:szCs w:val="28"/>
      </w:rPr>
      <w:t xml:space="preserve">Guidelines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09E"/>
    <w:multiLevelType w:val="hybridMultilevel"/>
    <w:tmpl w:val="4BB4952C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12723E"/>
    <w:multiLevelType w:val="hybridMultilevel"/>
    <w:tmpl w:val="0F161F5A"/>
    <w:numStyleLink w:val="ImportierterStil2"/>
  </w:abstractNum>
  <w:abstractNum w:abstractNumId="2" w15:restartNumberingAfterBreak="0">
    <w:nsid w:val="2A12335D"/>
    <w:multiLevelType w:val="hybridMultilevel"/>
    <w:tmpl w:val="76421BBE"/>
    <w:styleLink w:val="ImportierterStil1"/>
    <w:lvl w:ilvl="0" w:tplc="BC92BC78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5063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2AE3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DCB9E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E64B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987A6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3281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84A1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C032B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F895A66"/>
    <w:multiLevelType w:val="hybridMultilevel"/>
    <w:tmpl w:val="FAA67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D40290">
      <w:numFmt w:val="bullet"/>
      <w:lvlText w:val="-"/>
      <w:lvlJc w:val="left"/>
      <w:pPr>
        <w:ind w:left="2160" w:hanging="180"/>
      </w:pPr>
      <w:rPr>
        <w:rFonts w:ascii="Calibri" w:eastAsiaTheme="minorHAnsi" w:hAnsi="Calibri" w:cstheme="minorBidi" w:hint="default"/>
      </w:rPr>
    </w:lvl>
    <w:lvl w:ilvl="3" w:tplc="45BA50B0">
      <w:numFmt w:val="bullet"/>
      <w:lvlText w:val=""/>
      <w:lvlJc w:val="left"/>
      <w:pPr>
        <w:ind w:left="2880" w:hanging="360"/>
      </w:pPr>
      <w:rPr>
        <w:rFonts w:ascii="Wingdings" w:eastAsiaTheme="minorHAnsi" w:hAnsi="Wingdings" w:cstheme="minorBidi" w:hint="default"/>
        <w:sz w:val="28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91A71"/>
    <w:multiLevelType w:val="hybridMultilevel"/>
    <w:tmpl w:val="09E26206"/>
    <w:lvl w:ilvl="0" w:tplc="1F3EF10A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3A5B3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54CB2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D6CE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A677B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CAF44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C603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88976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AFA3027"/>
    <w:multiLevelType w:val="hybridMultilevel"/>
    <w:tmpl w:val="2620FEEE"/>
    <w:lvl w:ilvl="0" w:tplc="5928C6A0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8C6A0">
      <w:start w:val="1"/>
      <w:numFmt w:val="bullet"/>
      <w:lvlText w:val="1"/>
      <w:lvlJc w:val="left"/>
      <w:pPr>
        <w:ind w:left="2880" w:hanging="360"/>
      </w:pPr>
      <w:rPr>
        <w:rFonts w:ascii="Webdings" w:hAnsi="Webdings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006E0"/>
    <w:multiLevelType w:val="hybridMultilevel"/>
    <w:tmpl w:val="D864271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1E3A10"/>
    <w:multiLevelType w:val="hybridMultilevel"/>
    <w:tmpl w:val="76421BBE"/>
    <w:numStyleLink w:val="ImportierterStil1"/>
  </w:abstractNum>
  <w:abstractNum w:abstractNumId="8" w15:restartNumberingAfterBreak="0">
    <w:nsid w:val="5F033CA3"/>
    <w:multiLevelType w:val="hybridMultilevel"/>
    <w:tmpl w:val="BF66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CD40290">
      <w:numFmt w:val="bullet"/>
      <w:lvlText w:val="-"/>
      <w:lvlJc w:val="left"/>
      <w:pPr>
        <w:ind w:left="2160" w:hanging="180"/>
      </w:pPr>
      <w:rPr>
        <w:rFonts w:ascii="Calibri" w:eastAsiaTheme="minorHAnsi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A3DFC"/>
    <w:multiLevelType w:val="hybridMultilevel"/>
    <w:tmpl w:val="5FCC900E"/>
    <w:lvl w:ilvl="0" w:tplc="71CAB448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FCEB4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0877A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F69B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F8DC1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90590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94C0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EE78F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15A0F9D"/>
    <w:multiLevelType w:val="hybridMultilevel"/>
    <w:tmpl w:val="58E2674E"/>
    <w:lvl w:ilvl="0" w:tplc="1F3EF10A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3A5B3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54CB2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D6CE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A677B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CAF44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C603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88976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F4909CE"/>
    <w:multiLevelType w:val="hybridMultilevel"/>
    <w:tmpl w:val="C8807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CD40290">
      <w:numFmt w:val="bullet"/>
      <w:lvlText w:val="-"/>
      <w:lvlJc w:val="left"/>
      <w:pPr>
        <w:ind w:left="2160" w:hanging="180"/>
      </w:pPr>
      <w:rPr>
        <w:rFonts w:ascii="Calibri" w:eastAsiaTheme="minorHAnsi" w:hAnsi="Calibri" w:cstheme="minorBidi" w:hint="default"/>
      </w:rPr>
    </w:lvl>
    <w:lvl w:ilvl="3" w:tplc="45BA50B0">
      <w:numFmt w:val="bullet"/>
      <w:lvlText w:val=""/>
      <w:lvlJc w:val="left"/>
      <w:pPr>
        <w:ind w:left="2880" w:hanging="360"/>
      </w:pPr>
      <w:rPr>
        <w:rFonts w:ascii="Wingdings" w:eastAsiaTheme="minorHAnsi" w:hAnsi="Wingdings" w:cstheme="minorBidi" w:hint="default"/>
        <w:sz w:val="28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36438"/>
    <w:multiLevelType w:val="hybridMultilevel"/>
    <w:tmpl w:val="0F161F5A"/>
    <w:styleLink w:val="ImportierterStil2"/>
    <w:lvl w:ilvl="0" w:tplc="38E657B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C0B6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BCB32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14C18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9C2D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A8FE4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D67C4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82D2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18907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316378481">
    <w:abstractNumId w:val="2"/>
  </w:num>
  <w:num w:numId="2" w16cid:durableId="1642736396">
    <w:abstractNumId w:val="7"/>
  </w:num>
  <w:num w:numId="3" w16cid:durableId="310985378">
    <w:abstractNumId w:val="12"/>
  </w:num>
  <w:num w:numId="4" w16cid:durableId="1370061641">
    <w:abstractNumId w:val="1"/>
  </w:num>
  <w:num w:numId="5" w16cid:durableId="172916579">
    <w:abstractNumId w:val="8"/>
  </w:num>
  <w:num w:numId="6" w16cid:durableId="1956211350">
    <w:abstractNumId w:val="3"/>
  </w:num>
  <w:num w:numId="7" w16cid:durableId="1630744022">
    <w:abstractNumId w:val="0"/>
  </w:num>
  <w:num w:numId="8" w16cid:durableId="6254248">
    <w:abstractNumId w:val="5"/>
  </w:num>
  <w:num w:numId="9" w16cid:durableId="1635480056">
    <w:abstractNumId w:val="4"/>
  </w:num>
  <w:num w:numId="10" w16cid:durableId="1990556634">
    <w:abstractNumId w:val="9"/>
  </w:num>
  <w:num w:numId="11" w16cid:durableId="127210991">
    <w:abstractNumId w:val="10"/>
  </w:num>
  <w:num w:numId="12" w16cid:durableId="110781935">
    <w:abstractNumId w:val="11"/>
  </w:num>
  <w:num w:numId="13" w16cid:durableId="935286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FF"/>
    <w:rsid w:val="000A40EB"/>
    <w:rsid w:val="000C39EC"/>
    <w:rsid w:val="000D6251"/>
    <w:rsid w:val="000E1EDD"/>
    <w:rsid w:val="000F52B4"/>
    <w:rsid w:val="00154A0B"/>
    <w:rsid w:val="0015686A"/>
    <w:rsid w:val="002414CC"/>
    <w:rsid w:val="002707CD"/>
    <w:rsid w:val="00281DE6"/>
    <w:rsid w:val="00283F71"/>
    <w:rsid w:val="002A12A1"/>
    <w:rsid w:val="002C21FF"/>
    <w:rsid w:val="00300B3D"/>
    <w:rsid w:val="003119CD"/>
    <w:rsid w:val="003658EF"/>
    <w:rsid w:val="00373244"/>
    <w:rsid w:val="00385770"/>
    <w:rsid w:val="00385F69"/>
    <w:rsid w:val="003C0A5C"/>
    <w:rsid w:val="00436A75"/>
    <w:rsid w:val="0047790E"/>
    <w:rsid w:val="004D0871"/>
    <w:rsid w:val="004D527B"/>
    <w:rsid w:val="00503DCB"/>
    <w:rsid w:val="00564C87"/>
    <w:rsid w:val="005731EE"/>
    <w:rsid w:val="00577598"/>
    <w:rsid w:val="005B7355"/>
    <w:rsid w:val="006757CA"/>
    <w:rsid w:val="006823C0"/>
    <w:rsid w:val="0069520B"/>
    <w:rsid w:val="006A4DD3"/>
    <w:rsid w:val="007440F5"/>
    <w:rsid w:val="00750430"/>
    <w:rsid w:val="007D7123"/>
    <w:rsid w:val="00860AF7"/>
    <w:rsid w:val="008C560E"/>
    <w:rsid w:val="009300AC"/>
    <w:rsid w:val="009A5469"/>
    <w:rsid w:val="009D4281"/>
    <w:rsid w:val="00A40D39"/>
    <w:rsid w:val="00A47389"/>
    <w:rsid w:val="00A655F1"/>
    <w:rsid w:val="00A91F1C"/>
    <w:rsid w:val="00AD357D"/>
    <w:rsid w:val="00AF5567"/>
    <w:rsid w:val="00B03AFD"/>
    <w:rsid w:val="00B14D35"/>
    <w:rsid w:val="00B56C3F"/>
    <w:rsid w:val="00B81CD7"/>
    <w:rsid w:val="00BA6812"/>
    <w:rsid w:val="00BB1987"/>
    <w:rsid w:val="00BC70D1"/>
    <w:rsid w:val="00C260A9"/>
    <w:rsid w:val="00C27006"/>
    <w:rsid w:val="00C30745"/>
    <w:rsid w:val="00CB6212"/>
    <w:rsid w:val="00CE15C7"/>
    <w:rsid w:val="00CE2451"/>
    <w:rsid w:val="00D61B8A"/>
    <w:rsid w:val="00D6635F"/>
    <w:rsid w:val="00D85C2F"/>
    <w:rsid w:val="00D93090"/>
    <w:rsid w:val="00DA348F"/>
    <w:rsid w:val="00DC5C28"/>
    <w:rsid w:val="00E032A1"/>
    <w:rsid w:val="00E14DB9"/>
    <w:rsid w:val="00E21191"/>
    <w:rsid w:val="00E40EA0"/>
    <w:rsid w:val="00E510DE"/>
    <w:rsid w:val="00E70D94"/>
    <w:rsid w:val="00EE1213"/>
    <w:rsid w:val="00EF1596"/>
    <w:rsid w:val="00F0035E"/>
    <w:rsid w:val="00F72DF5"/>
    <w:rsid w:val="00FD7C32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2E688B"/>
  <w15:docId w15:val="{BD6E808F-8B93-47B4-A5E5-1C76C979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enabsatz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Funotentext">
    <w:name w:val="footnote text"/>
    <w:link w:val="FunotentextZchn"/>
    <w:uiPriority w:val="99"/>
    <w:rPr>
      <w:rFonts w:ascii="Calibri" w:eastAsia="Calibri" w:hAnsi="Calibri" w:cs="Calibri"/>
      <w:color w:val="000000"/>
      <w:u w:color="000000"/>
      <w:lang w:val="en-US"/>
    </w:rPr>
  </w:style>
  <w:style w:type="numbering" w:customStyle="1" w:styleId="ImportierterStil2">
    <w:name w:val="Importierter Stil: 2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2A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2A1"/>
    <w:rPr>
      <w:rFonts w:ascii="Segoe UI" w:hAnsi="Segoe UI" w:cs="Segoe UI"/>
      <w:sz w:val="18"/>
      <w:szCs w:val="18"/>
      <w:lang w:val="en-US" w:eastAsia="en-US"/>
    </w:rPr>
  </w:style>
  <w:style w:type="paragraph" w:customStyle="1" w:styleId="berschrift21">
    <w:name w:val="Überschrift 21"/>
    <w:next w:val="Text"/>
    <w:rsid w:val="00E21191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E21191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1191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E21191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1191"/>
    <w:rPr>
      <w:sz w:val="24"/>
      <w:szCs w:val="24"/>
      <w:lang w:val="en-US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260A9"/>
    <w:rPr>
      <w:rFonts w:ascii="Calibri" w:eastAsia="Calibri" w:hAnsi="Calibri" w:cs="Calibri"/>
      <w:color w:val="000000"/>
      <w:u w:color="00000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C26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MPI.CPfS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Grin, Juri</dc:creator>
  <cp:lastModifiedBy>flieger</cp:lastModifiedBy>
  <cp:revision>7</cp:revision>
  <cp:lastPrinted>2018-10-26T13:35:00Z</cp:lastPrinted>
  <dcterms:created xsi:type="dcterms:W3CDTF">2025-01-15T09:54:00Z</dcterms:created>
  <dcterms:modified xsi:type="dcterms:W3CDTF">2025-01-15T10:45:00Z</dcterms:modified>
</cp:coreProperties>
</file>